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D2" w:rsidRDefault="007F02D2" w:rsidP="007F02D2">
      <w:pPr>
        <w:jc w:val="center"/>
        <w:rPr>
          <w:rFonts w:cs="MCS Taybah S_U normal."/>
          <w:b/>
          <w:bCs/>
          <w:sz w:val="32"/>
          <w:szCs w:val="32"/>
        </w:rPr>
      </w:pPr>
      <w:r w:rsidRPr="00552451">
        <w:rPr>
          <w:rFonts w:cs="MCS Taybah S_U normal."/>
          <w:b/>
          <w:bCs/>
          <w:sz w:val="32"/>
          <w:szCs w:val="32"/>
        </w:rPr>
        <w:t>The architecture Origin in the Upper of Mesopotamia</w:t>
      </w:r>
    </w:p>
    <w:p w:rsidR="007F02D2" w:rsidRPr="00552451" w:rsidRDefault="007F02D2" w:rsidP="007F02D2">
      <w:pPr>
        <w:jc w:val="center"/>
        <w:rPr>
          <w:rFonts w:cs="MCS Taybah S_U normal."/>
          <w:b/>
          <w:bCs/>
          <w:sz w:val="32"/>
          <w:szCs w:val="32"/>
        </w:rPr>
      </w:pPr>
      <w:r w:rsidRPr="00552451">
        <w:rPr>
          <w:rFonts w:cs="MCS Taybah S_U normal."/>
          <w:b/>
          <w:bCs/>
          <w:sz w:val="32"/>
          <w:szCs w:val="32"/>
        </w:rPr>
        <w:t>(Ca.10,000-7,000BC)</w:t>
      </w:r>
    </w:p>
    <w:p w:rsidR="007F02D2" w:rsidRDefault="007F02D2" w:rsidP="007F02D2">
      <w:pPr>
        <w:jc w:val="center"/>
        <w:rPr>
          <w:b/>
          <w:bCs/>
          <w:sz w:val="32"/>
          <w:szCs w:val="32"/>
          <w:lang w:bidi="ar-IQ"/>
        </w:rPr>
      </w:pPr>
      <w:r>
        <w:rPr>
          <w:b/>
          <w:bCs/>
          <w:noProof/>
          <w:sz w:val="28"/>
        </w:rPr>
        <w:pict>
          <v:shapetype id="_x0000_t202" coordsize="21600,21600" o:spt="202" path="m,l,21600r21600,l21600,xe">
            <v:stroke joinstyle="miter"/>
            <v:path gradientshapeok="t" o:connecttype="rect"/>
          </v:shapetype>
          <v:shape id="_x0000_s1027" type="#_x0000_t202" style="position:absolute;left:0;text-align:left;margin-left:224.45pt;margin-top:10.9pt;width:258.55pt;height:95.25pt;z-index:251661312;mso-width-relative:margin;mso-height-relative:margin" stroked="f">
            <v:textbox style="mso-next-textbox:#_x0000_s1027">
              <w:txbxContent>
                <w:p w:rsidR="007F02D2" w:rsidRPr="00610853" w:rsidRDefault="007F02D2" w:rsidP="007F02D2">
                  <w:pPr>
                    <w:jc w:val="both"/>
                    <w:rPr>
                      <w:b/>
                      <w:bCs/>
                      <w:sz w:val="20"/>
                      <w:szCs w:val="20"/>
                      <w:lang w:bidi="ar-IQ"/>
                    </w:rPr>
                  </w:pPr>
                </w:p>
                <w:p w:rsidR="007F02D2" w:rsidRPr="00C01FF6" w:rsidRDefault="007F02D2" w:rsidP="007F02D2">
                  <w:pPr>
                    <w:jc w:val="center"/>
                    <w:rPr>
                      <w:rFonts w:cs="MCS Taybah S_U normal."/>
                      <w:b/>
                      <w:bCs/>
                      <w:sz w:val="26"/>
                      <w:szCs w:val="26"/>
                    </w:rPr>
                  </w:pPr>
                  <w:r w:rsidRPr="00C01FF6">
                    <w:rPr>
                      <w:rFonts w:cs="MCS Taybah S_U normal."/>
                      <w:b/>
                      <w:bCs/>
                      <w:sz w:val="26"/>
                      <w:szCs w:val="26"/>
                    </w:rPr>
                    <w:t>Jumaa al-Talabi, Assistant in  Baghdad University - College of Art -Archaeology Dept. Now , Post-graduate student at the Department of Archaeology</w:t>
                  </w:r>
                </w:p>
                <w:p w:rsidR="007F02D2" w:rsidRPr="00C01FF6" w:rsidRDefault="007F02D2" w:rsidP="007F02D2">
                  <w:pPr>
                    <w:jc w:val="center"/>
                    <w:rPr>
                      <w:rFonts w:cs="MCS Taybah S_U normal."/>
                      <w:b/>
                      <w:bCs/>
                      <w:sz w:val="26"/>
                      <w:szCs w:val="26"/>
                    </w:rPr>
                  </w:pPr>
                  <w:r w:rsidRPr="00C01FF6">
                    <w:rPr>
                      <w:rFonts w:cs="MCS Taybah S_U normal."/>
                      <w:b/>
                      <w:bCs/>
                      <w:sz w:val="26"/>
                      <w:szCs w:val="26"/>
                    </w:rPr>
                    <w:t>The Faculty of History</w:t>
                  </w:r>
                </w:p>
                <w:p w:rsidR="007F02D2" w:rsidRPr="00FC6DEB" w:rsidRDefault="007F02D2" w:rsidP="007F02D2">
                  <w:pPr>
                    <w:rPr>
                      <w:lang w:bidi="ar-IQ"/>
                    </w:rPr>
                  </w:pPr>
                </w:p>
              </w:txbxContent>
            </v:textbox>
          </v:shape>
        </w:pict>
      </w:r>
      <w:r w:rsidRPr="00FC6DEB">
        <w:rPr>
          <w:b/>
          <w:bCs/>
          <w:noProof/>
          <w:sz w:val="32"/>
          <w:szCs w:val="32"/>
          <w:lang w:eastAsia="zh-TW" w:bidi="ar-IQ"/>
        </w:rPr>
        <w:pict>
          <v:shape id="_x0000_s1026" type="#_x0000_t202" style="position:absolute;left:0;text-align:left;margin-left:-11.55pt;margin-top:15.6pt;width:223.4pt;height:78.8pt;z-index:251660288;mso-width-relative:margin;mso-height-relative:margin" stroked="f">
            <v:textbox style="mso-next-textbox:#_x0000_s1026">
              <w:txbxContent>
                <w:p w:rsidR="007F02D2" w:rsidRPr="00610853" w:rsidRDefault="007F02D2" w:rsidP="007F02D2">
                  <w:pPr>
                    <w:jc w:val="center"/>
                    <w:rPr>
                      <w:b/>
                      <w:bCs/>
                      <w:sz w:val="20"/>
                      <w:szCs w:val="20"/>
                      <w:lang w:bidi="ar-IQ"/>
                    </w:rPr>
                  </w:pPr>
                </w:p>
                <w:p w:rsidR="007F02D2" w:rsidRPr="00610853" w:rsidRDefault="007F02D2" w:rsidP="007F02D2">
                  <w:pPr>
                    <w:jc w:val="center"/>
                    <w:rPr>
                      <w:b/>
                      <w:bCs/>
                      <w:sz w:val="20"/>
                      <w:szCs w:val="20"/>
                      <w:lang w:bidi="ar-IQ"/>
                    </w:rPr>
                  </w:pPr>
                </w:p>
                <w:p w:rsidR="007F02D2" w:rsidRPr="00C01FF6" w:rsidRDefault="007F02D2" w:rsidP="007F02D2">
                  <w:pPr>
                    <w:jc w:val="center"/>
                    <w:rPr>
                      <w:rFonts w:cs="MCS Taybah S_U normal."/>
                      <w:b/>
                      <w:bCs/>
                      <w:sz w:val="26"/>
                      <w:szCs w:val="26"/>
                    </w:rPr>
                  </w:pPr>
                  <w:r w:rsidRPr="00C01FF6">
                    <w:rPr>
                      <w:rFonts w:cs="MCS Taybah S_U normal."/>
                      <w:b/>
                      <w:bCs/>
                      <w:sz w:val="26"/>
                      <w:szCs w:val="26"/>
                    </w:rPr>
                    <w:t>Dr. Mohammed kamil Rokan</w:t>
                  </w:r>
                </w:p>
                <w:p w:rsidR="007F02D2" w:rsidRPr="00C01FF6" w:rsidRDefault="007F02D2" w:rsidP="007F02D2">
                  <w:pPr>
                    <w:jc w:val="center"/>
                    <w:rPr>
                      <w:rFonts w:cs="MCS Taybah S_U normal."/>
                      <w:b/>
                      <w:bCs/>
                      <w:sz w:val="26"/>
                      <w:szCs w:val="26"/>
                    </w:rPr>
                  </w:pPr>
                  <w:r w:rsidRPr="00C01FF6">
                    <w:rPr>
                      <w:rFonts w:cs="MCS Taybah S_U normal."/>
                      <w:b/>
                      <w:bCs/>
                      <w:sz w:val="26"/>
                      <w:szCs w:val="26"/>
                    </w:rPr>
                    <w:t>Head of Archaeology Dept.</w:t>
                  </w:r>
                </w:p>
                <w:p w:rsidR="007F02D2" w:rsidRPr="00C01FF6" w:rsidRDefault="007F02D2" w:rsidP="007F02D2">
                  <w:pPr>
                    <w:jc w:val="center"/>
                    <w:rPr>
                      <w:rFonts w:cs="MCS Taybah S_U normal."/>
                      <w:b/>
                      <w:bCs/>
                      <w:sz w:val="26"/>
                      <w:szCs w:val="26"/>
                    </w:rPr>
                  </w:pPr>
                  <w:r w:rsidRPr="00C01FF6">
                    <w:rPr>
                      <w:rFonts w:cs="MCS Taybah S_U normal."/>
                      <w:b/>
                      <w:bCs/>
                      <w:sz w:val="26"/>
                      <w:szCs w:val="26"/>
                    </w:rPr>
                    <w:t>University of Al-Qadissia</w:t>
                  </w:r>
                </w:p>
                <w:p w:rsidR="007F02D2" w:rsidRPr="00C01FF6" w:rsidRDefault="007F02D2" w:rsidP="007F02D2">
                  <w:pPr>
                    <w:jc w:val="center"/>
                    <w:rPr>
                      <w:rFonts w:cs="MCS Taybah S_U normal." w:hint="cs"/>
                      <w:b/>
                      <w:bCs/>
                      <w:sz w:val="26"/>
                      <w:szCs w:val="26"/>
                      <w:rtl/>
                    </w:rPr>
                  </w:pPr>
                </w:p>
              </w:txbxContent>
            </v:textbox>
          </v:shape>
        </w:pict>
      </w:r>
    </w:p>
    <w:p w:rsidR="007F02D2" w:rsidRPr="005C29DD" w:rsidRDefault="007F02D2" w:rsidP="007F02D2">
      <w:pPr>
        <w:jc w:val="center"/>
        <w:rPr>
          <w:rFonts w:hint="cs"/>
          <w:rtl/>
          <w:lang w:bidi="ar-IQ"/>
        </w:rPr>
      </w:pPr>
    </w:p>
    <w:p w:rsidR="007F02D2" w:rsidRDefault="007F02D2" w:rsidP="007F02D2">
      <w:pPr>
        <w:jc w:val="center"/>
        <w:rPr>
          <w:rFonts w:hint="cs"/>
          <w:b/>
          <w:bCs/>
          <w:sz w:val="32"/>
          <w:szCs w:val="32"/>
          <w:rtl/>
          <w:lang w:bidi="ar-IQ"/>
        </w:rPr>
      </w:pPr>
    </w:p>
    <w:p w:rsidR="007F02D2" w:rsidRDefault="007F02D2" w:rsidP="007F02D2">
      <w:pPr>
        <w:jc w:val="center"/>
        <w:rPr>
          <w:rFonts w:hint="cs"/>
          <w:b/>
          <w:bCs/>
          <w:sz w:val="32"/>
          <w:szCs w:val="32"/>
          <w:lang w:bidi="ar-IQ"/>
        </w:rPr>
      </w:pPr>
    </w:p>
    <w:p w:rsidR="007F02D2" w:rsidRDefault="007F02D2" w:rsidP="007F02D2">
      <w:pPr>
        <w:jc w:val="both"/>
        <w:rPr>
          <w:b/>
          <w:bCs/>
          <w:sz w:val="28"/>
          <w:lang w:bidi="ar-IQ"/>
        </w:rPr>
      </w:pPr>
      <w:r w:rsidRPr="008F54C9">
        <w:rPr>
          <w:b/>
          <w:bCs/>
          <w:sz w:val="28"/>
          <w:lang w:bidi="ar-IQ"/>
        </w:rPr>
        <w:t xml:space="preserve">     </w:t>
      </w:r>
    </w:p>
    <w:p w:rsidR="007F02D2" w:rsidRPr="00264219" w:rsidRDefault="007F02D2" w:rsidP="007F02D2">
      <w:pPr>
        <w:tabs>
          <w:tab w:val="left" w:pos="3698"/>
          <w:tab w:val="center" w:pos="4153"/>
        </w:tabs>
        <w:rPr>
          <w:b/>
          <w:bCs/>
        </w:rPr>
      </w:pPr>
    </w:p>
    <w:p w:rsidR="007F02D2" w:rsidRPr="00264219" w:rsidRDefault="007F02D2" w:rsidP="007F02D2">
      <w:pPr>
        <w:tabs>
          <w:tab w:val="left" w:pos="3698"/>
          <w:tab w:val="center" w:pos="4153"/>
        </w:tabs>
        <w:rPr>
          <w:b/>
          <w:bCs/>
        </w:rPr>
      </w:pPr>
    </w:p>
    <w:p w:rsidR="007F02D2" w:rsidRPr="00EA0049" w:rsidRDefault="007F02D2" w:rsidP="007F02D2">
      <w:pPr>
        <w:tabs>
          <w:tab w:val="left" w:pos="709"/>
          <w:tab w:val="center" w:pos="4153"/>
        </w:tabs>
        <w:ind w:firstLine="709"/>
        <w:jc w:val="both"/>
        <w:rPr>
          <w:rFonts w:cs="Times New Roman"/>
          <w:szCs w:val="24"/>
          <w:lang w:bidi="ar-IQ"/>
        </w:rPr>
      </w:pPr>
      <w:r w:rsidRPr="00EA0049">
        <w:rPr>
          <w:rFonts w:cs="Times New Roman"/>
          <w:szCs w:val="24"/>
          <w:lang w:bidi="ar-IQ"/>
        </w:rPr>
        <w:t>Since ten thousand years B.C., the environment control process has significantly done by residents of the northern part of Mesopotamia as well as other areas of the ancient Near East. By the Neolithic period gatherers and hunters, had become to farmers and villagers. They lived in permanent buildings in the village societies, as the "domesticated" societies, and the  domestication is the effect of living in houses, within villages</w:t>
      </w:r>
      <w:r w:rsidRPr="00EA0049">
        <w:rPr>
          <w:rFonts w:cs="Times New Roman"/>
          <w:szCs w:val="24"/>
        </w:rPr>
        <w:endnoteReference w:id="2"/>
      </w:r>
      <w:r w:rsidRPr="00EA0049">
        <w:rPr>
          <w:rFonts w:cs="Times New Roman"/>
          <w:szCs w:val="24"/>
          <w:lang w:bidi="ar-IQ"/>
        </w:rPr>
        <w:t>.</w:t>
      </w:r>
    </w:p>
    <w:p w:rsidR="007F02D2" w:rsidRPr="00EA0049" w:rsidRDefault="007F02D2" w:rsidP="007F02D2">
      <w:pPr>
        <w:tabs>
          <w:tab w:val="left" w:pos="709"/>
          <w:tab w:val="center" w:pos="4153"/>
        </w:tabs>
        <w:jc w:val="both"/>
        <w:rPr>
          <w:rFonts w:cs="Times New Roman"/>
          <w:szCs w:val="24"/>
          <w:lang w:bidi="ar-IQ"/>
        </w:rPr>
      </w:pPr>
      <w:r>
        <w:rPr>
          <w:rFonts w:cs="Times New Roman"/>
          <w:szCs w:val="24"/>
          <w:lang w:bidi="ar-IQ"/>
        </w:rPr>
        <w:tab/>
      </w:r>
      <w:r w:rsidRPr="00EA0049">
        <w:rPr>
          <w:rFonts w:cs="Times New Roman"/>
          <w:szCs w:val="24"/>
          <w:lang w:bidi="ar-IQ"/>
        </w:rPr>
        <w:t>Up to present , However, the relevant sites in Upper Mesopotamia have been broadly lumped together under a vague nation" Transition" , roughly dated  to end of the Epi-palaeolithic through the beginning of the pottery Neolithic of the area, namely , to the time range from 10,000 to 7,000 B.C</w:t>
      </w:r>
      <w:r w:rsidRPr="00EA0049">
        <w:rPr>
          <w:rFonts w:cs="Times New Roman"/>
          <w:szCs w:val="24"/>
        </w:rPr>
        <w:endnoteReference w:id="3"/>
      </w:r>
      <w:r w:rsidRPr="00EA0049">
        <w:rPr>
          <w:rFonts w:cs="Times New Roman"/>
          <w:szCs w:val="24"/>
          <w:lang w:bidi="ar-IQ"/>
        </w:rPr>
        <w:t>. [Fig.1]</w:t>
      </w:r>
    </w:p>
    <w:p w:rsidR="007F02D2" w:rsidRPr="00EA0049" w:rsidRDefault="007F02D2" w:rsidP="007F02D2">
      <w:pPr>
        <w:tabs>
          <w:tab w:val="left" w:pos="709"/>
          <w:tab w:val="center" w:pos="4153"/>
        </w:tabs>
        <w:jc w:val="both"/>
        <w:rPr>
          <w:rFonts w:cs="Times New Roman"/>
          <w:szCs w:val="24"/>
          <w:lang w:bidi="ar-IQ"/>
        </w:rPr>
      </w:pPr>
      <w:r>
        <w:rPr>
          <w:rFonts w:cs="Times New Roman"/>
          <w:szCs w:val="24"/>
          <w:lang w:bidi="ar-IQ"/>
        </w:rPr>
        <w:tab/>
      </w:r>
      <w:r w:rsidRPr="00EA0049">
        <w:rPr>
          <w:rFonts w:cs="Times New Roman"/>
          <w:szCs w:val="24"/>
          <w:lang w:bidi="ar-IQ"/>
        </w:rPr>
        <w:t>Modern usage of the term “ Upper Mesopotamia” applies to the watersheds of the rivers Euphrates and Tigris, namely, North Republic of Iraq, with much smaller areas  in northeast Syria and southeast Turkey</w:t>
      </w:r>
      <w:r w:rsidRPr="00EA0049">
        <w:rPr>
          <w:rFonts w:cs="Times New Roman"/>
          <w:szCs w:val="24"/>
        </w:rPr>
        <w:endnoteReference w:id="4"/>
      </w:r>
      <w:r w:rsidRPr="00EA0049">
        <w:rPr>
          <w:rFonts w:cs="Times New Roman"/>
          <w:szCs w:val="24"/>
          <w:lang w:bidi="ar-IQ"/>
        </w:rPr>
        <w:t>.</w:t>
      </w:r>
    </w:p>
    <w:p w:rsidR="007F02D2" w:rsidRPr="00EA0049" w:rsidRDefault="007F02D2" w:rsidP="007F02D2">
      <w:pPr>
        <w:tabs>
          <w:tab w:val="left" w:pos="709"/>
          <w:tab w:val="center" w:pos="4153"/>
        </w:tabs>
        <w:jc w:val="both"/>
        <w:rPr>
          <w:rFonts w:cs="Times New Roman" w:hint="cs"/>
          <w:szCs w:val="24"/>
          <w:rtl/>
          <w:lang w:bidi="ar-IQ"/>
        </w:rPr>
      </w:pPr>
      <w:r>
        <w:rPr>
          <w:rFonts w:cs="Times New Roman"/>
          <w:szCs w:val="24"/>
          <w:lang w:bidi="ar-IQ"/>
        </w:rPr>
        <w:tab/>
      </w:r>
      <w:r w:rsidRPr="00EA0049">
        <w:rPr>
          <w:rFonts w:cs="Times New Roman"/>
          <w:szCs w:val="24"/>
          <w:lang w:bidi="ar-IQ"/>
        </w:rPr>
        <w:t>Here try to review the some of the Neolithic sites in the Upper Mesopotamia in term techno-typology of the remains architectural, and to place them , on the basis in similarities in several aspects of the material remains.</w:t>
      </w:r>
    </w:p>
    <w:p w:rsidR="007F02D2" w:rsidRPr="00EA0049" w:rsidRDefault="007F02D2" w:rsidP="007F02D2">
      <w:pPr>
        <w:tabs>
          <w:tab w:val="left" w:pos="709"/>
          <w:tab w:val="center" w:pos="4153"/>
        </w:tabs>
        <w:jc w:val="both"/>
        <w:rPr>
          <w:rFonts w:cs="Times New Roman"/>
          <w:szCs w:val="24"/>
          <w:lang w:bidi="ar-IQ"/>
        </w:rPr>
      </w:pPr>
      <w:r w:rsidRPr="00EA0049">
        <w:rPr>
          <w:rFonts w:cs="Times New Roman"/>
          <w:szCs w:val="24"/>
          <w:lang w:bidi="ar-IQ"/>
        </w:rPr>
        <w:t xml:space="preserve"> </w:t>
      </w:r>
      <w:r>
        <w:rPr>
          <w:rFonts w:cs="Times New Roman"/>
          <w:szCs w:val="24"/>
          <w:lang w:bidi="ar-IQ"/>
        </w:rPr>
        <w:tab/>
      </w:r>
      <w:r w:rsidRPr="00EA0049">
        <w:rPr>
          <w:rFonts w:cs="Times New Roman"/>
          <w:szCs w:val="24"/>
          <w:lang w:bidi="ar-IQ"/>
        </w:rPr>
        <w:t>The open village site Zawi Chemi is situated in Shanidar Valley, a part of the rugged Zagros mountain chain un northern Iraq</w:t>
      </w:r>
      <w:r w:rsidRPr="00EA0049">
        <w:rPr>
          <w:rFonts w:cs="Times New Roman"/>
          <w:szCs w:val="24"/>
        </w:rPr>
        <w:endnoteReference w:id="5"/>
      </w:r>
      <w:r w:rsidRPr="00EA0049">
        <w:rPr>
          <w:rFonts w:cs="Times New Roman"/>
          <w:szCs w:val="24"/>
          <w:lang w:bidi="ar-IQ"/>
        </w:rPr>
        <w:t>.It has principal feature, it is a circular structure, called  structure 1. was built by dry stone which roughly circular plan of ca. 2,20 m  diameter. Structure 1 is presented the earliest  known  architectural  construction from Mesopotamia</w:t>
      </w:r>
      <w:r w:rsidRPr="00EA0049">
        <w:rPr>
          <w:rFonts w:cs="Times New Roman"/>
          <w:szCs w:val="24"/>
        </w:rPr>
        <w:endnoteReference w:id="6"/>
      </w:r>
      <w:r w:rsidRPr="00EA0049">
        <w:rPr>
          <w:rFonts w:cs="Times New Roman"/>
          <w:szCs w:val="24"/>
          <w:lang w:bidi="ar-IQ"/>
        </w:rPr>
        <w:t xml:space="preserve">. In M’lefaat site , Small mound lies on a gravel hill immediately north of the Erbil-Mosul road, which is located  north- east  Tigris , have been revealed , series of round or oval houses, some of them were built by the earliest known bricks from Mesopotamia. These houses, often with hearths, some of structures are built of pise( Called in Arabic tauf), while others employ cigar-shaped bricks up to </w:t>
      </w:r>
      <w:smartTag w:uri="urn:schemas-microsoft-com:office:smarttags" w:element="metricconverter">
        <w:smartTagPr>
          <w:attr w:name="ProductID" w:val="70 cm"/>
        </w:smartTagPr>
        <w:r w:rsidRPr="00EA0049">
          <w:rPr>
            <w:rFonts w:cs="Times New Roman"/>
            <w:szCs w:val="24"/>
            <w:lang w:bidi="ar-IQ"/>
          </w:rPr>
          <w:t>70 cm</w:t>
        </w:r>
      </w:smartTag>
      <w:r w:rsidRPr="00EA0049">
        <w:rPr>
          <w:rFonts w:cs="Times New Roman"/>
          <w:szCs w:val="24"/>
          <w:lang w:bidi="ar-IQ"/>
        </w:rPr>
        <w:t xml:space="preserve"> long.</w:t>
      </w:r>
      <w:r w:rsidRPr="00EA0049">
        <w:rPr>
          <w:rFonts w:cs="Times New Roman" w:hint="cs"/>
          <w:szCs w:val="24"/>
          <w:rtl/>
          <w:lang w:bidi="ar-IQ"/>
        </w:rPr>
        <w:t xml:space="preserve"> </w:t>
      </w:r>
      <w:r w:rsidRPr="00EA0049">
        <w:rPr>
          <w:rFonts w:cs="Times New Roman"/>
          <w:szCs w:val="24"/>
          <w:lang w:bidi="ar-IQ"/>
        </w:rPr>
        <w:t xml:space="preserve">At least some of these are semi-subterranean, with  stone packed floors. In the centre of the settlements were large open area with pebble </w:t>
      </w:r>
      <w:r w:rsidRPr="00EA0049">
        <w:rPr>
          <w:rFonts w:cs="Times New Roman"/>
          <w:szCs w:val="24"/>
          <w:lang w:bidi="ar-IQ"/>
        </w:rPr>
        <w:lastRenderedPageBreak/>
        <w:t>floors in which grinding stone, mortars and hearths were located, clearly indicating communal use of this area for a range of open-air activities</w:t>
      </w:r>
      <w:r w:rsidRPr="00EA0049">
        <w:rPr>
          <w:rFonts w:cs="Times New Roman"/>
          <w:szCs w:val="24"/>
        </w:rPr>
        <w:endnoteReference w:id="7"/>
      </w:r>
      <w:r w:rsidRPr="00EA0049">
        <w:rPr>
          <w:rFonts w:cs="Times New Roman"/>
          <w:szCs w:val="24"/>
          <w:lang w:bidi="ar-IQ"/>
        </w:rPr>
        <w:t>.</w:t>
      </w:r>
    </w:p>
    <w:p w:rsidR="007F02D2" w:rsidRPr="00EA0049" w:rsidRDefault="007F02D2" w:rsidP="007F02D2">
      <w:pPr>
        <w:tabs>
          <w:tab w:val="left" w:pos="709"/>
          <w:tab w:val="center" w:pos="4153"/>
        </w:tabs>
        <w:jc w:val="both"/>
        <w:rPr>
          <w:rFonts w:cs="Times New Roman" w:hint="cs"/>
          <w:szCs w:val="24"/>
          <w:rtl/>
          <w:lang w:bidi="ar-IQ"/>
        </w:rPr>
      </w:pPr>
      <w:r>
        <w:rPr>
          <w:rFonts w:cs="Times New Roman"/>
          <w:szCs w:val="24"/>
          <w:lang w:bidi="ar-IQ"/>
        </w:rPr>
        <w:tab/>
      </w:r>
      <w:r w:rsidRPr="00EA0049">
        <w:rPr>
          <w:rFonts w:cs="Times New Roman"/>
          <w:szCs w:val="24"/>
          <w:lang w:bidi="ar-IQ"/>
        </w:rPr>
        <w:t xml:space="preserve"> In Syrian on the Euphrates, there were two sites have add much information about the occurrence and nature of  Communities in this region. The large site is Abu Hureyra</w:t>
      </w:r>
      <w:r w:rsidRPr="00EA0049">
        <w:rPr>
          <w:rFonts w:cs="Times New Roman"/>
          <w:szCs w:val="24"/>
        </w:rPr>
        <w:endnoteReference w:id="8"/>
      </w:r>
      <w:r w:rsidRPr="00EA0049">
        <w:rPr>
          <w:rFonts w:cs="Times New Roman"/>
          <w:szCs w:val="24"/>
          <w:lang w:bidi="ar-IQ"/>
        </w:rPr>
        <w:t>, is located on the right bank of the Euphrates , Has an early occupation of  Natufian culture and some features of virgin soil include  pits, hearths , post holes and floors, perhaps from semi- permanent structures. More substantial evidence for this period has come from Mureybet</w:t>
      </w:r>
      <w:r w:rsidRPr="00EA0049">
        <w:rPr>
          <w:rFonts w:cs="Times New Roman"/>
          <w:szCs w:val="24"/>
        </w:rPr>
        <w:endnoteReference w:id="9"/>
      </w:r>
      <w:r w:rsidRPr="00EA0049">
        <w:rPr>
          <w:rFonts w:cs="Times New Roman"/>
          <w:szCs w:val="24"/>
          <w:lang w:bidi="ar-IQ"/>
        </w:rPr>
        <w:t xml:space="preserve">, some </w:t>
      </w:r>
      <w:smartTag w:uri="urn:schemas-microsoft-com:office:smarttags" w:element="metricconverter">
        <w:smartTagPr>
          <w:attr w:name="ProductID" w:val="45 km"/>
        </w:smartTagPr>
        <w:r w:rsidRPr="00EA0049">
          <w:rPr>
            <w:rFonts w:cs="Times New Roman"/>
            <w:szCs w:val="24"/>
            <w:lang w:bidi="ar-IQ"/>
          </w:rPr>
          <w:t>45 km</w:t>
        </w:r>
      </w:smartTag>
      <w:r w:rsidRPr="00EA0049">
        <w:rPr>
          <w:rFonts w:cs="Times New Roman"/>
          <w:szCs w:val="24"/>
          <w:lang w:bidi="ar-IQ"/>
        </w:rPr>
        <w:t xml:space="preserve"> upstream from Abu Hureyra .the Upper Level consists of round semi- subterranean huts  of clay with exterior wooden support.[Fig.2]</w:t>
      </w:r>
    </w:p>
    <w:p w:rsidR="007F02D2" w:rsidRPr="00EA0049" w:rsidRDefault="007F02D2" w:rsidP="007F02D2">
      <w:pPr>
        <w:tabs>
          <w:tab w:val="left" w:pos="709"/>
          <w:tab w:val="center" w:pos="4153"/>
        </w:tabs>
        <w:jc w:val="both"/>
        <w:rPr>
          <w:rFonts w:cs="Times New Roman"/>
          <w:szCs w:val="24"/>
          <w:lang w:bidi="ar-IQ"/>
        </w:rPr>
      </w:pPr>
      <w:r w:rsidRPr="00EA0049">
        <w:rPr>
          <w:rFonts w:cs="Times New Roman"/>
          <w:szCs w:val="24"/>
          <w:lang w:bidi="ar-IQ"/>
        </w:rPr>
        <w:t xml:space="preserve"> Hallan Cemi Tepesi, in eastern Anatolia, has yielded the remains of small permanent village. The architectural Buildings are circular and semi-subterranean, arranged around an open central area ca.15 m in diameter. Some of contain distinctive features, in the form of   a semi-circular stone bench/platform that is set against the wall of each structure. The floors each structure were resurfaced  multiple times with a distinctive thin yellow sand and plaster mixture over a layer of relatively sterile dirt fill and were generally devoid of material  and objects commonly associated with domestic activities</w:t>
      </w:r>
      <w:r w:rsidRPr="00EA0049">
        <w:rPr>
          <w:rFonts w:cs="Times New Roman"/>
          <w:szCs w:val="24"/>
        </w:rPr>
        <w:endnoteReference w:id="10"/>
      </w:r>
      <w:r w:rsidRPr="00EA0049">
        <w:rPr>
          <w:rFonts w:cs="Times New Roman"/>
          <w:szCs w:val="24"/>
          <w:lang w:bidi="ar-IQ"/>
        </w:rPr>
        <w:t xml:space="preserve">.  </w:t>
      </w:r>
    </w:p>
    <w:p w:rsidR="00C169B1" w:rsidRPr="007F02D2" w:rsidRDefault="00C169B1">
      <w:pPr>
        <w:rPr>
          <w:rFonts w:hint="cs"/>
          <w:lang w:bidi="ar-IQ"/>
        </w:rPr>
      </w:pPr>
    </w:p>
    <w:sectPr w:rsidR="00C169B1" w:rsidRPr="007F02D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9B1" w:rsidRDefault="00C169B1" w:rsidP="007F02D2">
      <w:pPr>
        <w:spacing w:after="0" w:line="240" w:lineRule="auto"/>
      </w:pPr>
      <w:r>
        <w:separator/>
      </w:r>
    </w:p>
  </w:endnote>
  <w:endnote w:type="continuationSeparator" w:id="1">
    <w:p w:rsidR="00C169B1" w:rsidRDefault="00C169B1" w:rsidP="007F02D2">
      <w:pPr>
        <w:spacing w:after="0" w:line="240" w:lineRule="auto"/>
      </w:pPr>
      <w:r>
        <w:continuationSeparator/>
      </w:r>
    </w:p>
  </w:endnote>
  <w:endnote w:id="2">
    <w:p w:rsidR="007F02D2" w:rsidRPr="00206EFE" w:rsidRDefault="007F02D2" w:rsidP="007F02D2">
      <w:pPr>
        <w:pStyle w:val="a5"/>
        <w:ind w:left="284" w:hanging="284"/>
        <w:jc w:val="both"/>
        <w:rPr>
          <w:rFonts w:ascii="Times New Roman" w:hAnsi="Times New Roman" w:cs="Times New Roman"/>
          <w:sz w:val="24"/>
          <w:szCs w:val="24"/>
          <w:lang w:bidi="ar-IQ"/>
        </w:rPr>
      </w:pPr>
      <w:r w:rsidRPr="00206EFE">
        <w:rPr>
          <w:rStyle w:val="a6"/>
          <w:rFonts w:ascii="Times New Roman" w:hAnsi="Times New Roman" w:cs="Times New Roman"/>
          <w:sz w:val="24"/>
          <w:szCs w:val="24"/>
        </w:rPr>
        <w:endnoteRef/>
      </w:r>
      <w:r w:rsidRPr="00206EFE">
        <w:rPr>
          <w:rFonts w:ascii="Times New Roman" w:hAnsi="Times New Roman" w:cs="Times New Roman"/>
          <w:sz w:val="24"/>
          <w:szCs w:val="24"/>
          <w:rtl/>
          <w:lang w:bidi="ar-IQ"/>
        </w:rPr>
        <w:t>-</w:t>
      </w:r>
      <w:r w:rsidRPr="00206EFE">
        <w:rPr>
          <w:rFonts w:ascii="Times New Roman" w:hAnsi="Times New Roman" w:cs="Times New Roman"/>
          <w:sz w:val="24"/>
          <w:szCs w:val="24"/>
        </w:rPr>
        <w:t xml:space="preserve"> Matthews R. The Eaarly prehistory of Mesopotamia 500,000 to 4,500 BC. Oxford,2000,P.31.</w:t>
      </w:r>
    </w:p>
  </w:endnote>
  <w:endnote w:id="3">
    <w:p w:rsidR="007F02D2" w:rsidRPr="00206EFE" w:rsidRDefault="007F02D2" w:rsidP="007F02D2">
      <w:pPr>
        <w:pStyle w:val="a5"/>
        <w:ind w:left="284" w:hanging="284"/>
        <w:jc w:val="both"/>
        <w:rPr>
          <w:rFonts w:ascii="Times New Roman" w:hAnsi="Times New Roman" w:cs="Times New Roman"/>
          <w:sz w:val="24"/>
          <w:szCs w:val="24"/>
          <w:lang w:bidi="ar-IQ"/>
        </w:rPr>
      </w:pPr>
      <w:r w:rsidRPr="00206EFE">
        <w:rPr>
          <w:rStyle w:val="a6"/>
          <w:rFonts w:ascii="Times New Roman" w:hAnsi="Times New Roman" w:cs="Times New Roman"/>
          <w:sz w:val="24"/>
          <w:szCs w:val="24"/>
        </w:rPr>
        <w:endnoteRef/>
      </w:r>
      <w:r w:rsidRPr="00206EFE">
        <w:rPr>
          <w:rFonts w:ascii="Times New Roman" w:hAnsi="Times New Roman" w:cs="Times New Roman"/>
          <w:sz w:val="24"/>
          <w:szCs w:val="24"/>
          <w:rtl/>
        </w:rPr>
        <w:t xml:space="preserve"> </w:t>
      </w:r>
      <w:r w:rsidRPr="00206EFE">
        <w:rPr>
          <w:rFonts w:ascii="Times New Roman" w:hAnsi="Times New Roman" w:cs="Times New Roman"/>
          <w:sz w:val="24"/>
          <w:szCs w:val="24"/>
          <w:rtl/>
          <w:lang w:bidi="ar-IQ"/>
        </w:rPr>
        <w:t>-</w:t>
      </w:r>
      <w:r w:rsidRPr="00206EFE">
        <w:rPr>
          <w:rFonts w:ascii="Times New Roman" w:hAnsi="Times New Roman" w:cs="Times New Roman"/>
          <w:sz w:val="24"/>
          <w:szCs w:val="24"/>
        </w:rPr>
        <w:t xml:space="preserve"> Ohnuma K . Chronology of the “ proto-Neolithic” of Iraq and Syria _ A Hypothetical view. Al-Rafidan Journal ,Vol. 18,1997.P.45.</w:t>
      </w:r>
    </w:p>
  </w:endnote>
  <w:endnote w:id="4">
    <w:p w:rsidR="007F02D2" w:rsidRPr="00206EFE" w:rsidRDefault="007F02D2" w:rsidP="007F02D2">
      <w:pPr>
        <w:pStyle w:val="a5"/>
        <w:ind w:left="284" w:hanging="284"/>
        <w:jc w:val="both"/>
        <w:rPr>
          <w:rFonts w:ascii="Times New Roman" w:hAnsi="Times New Roman" w:cs="Times New Roman"/>
          <w:sz w:val="24"/>
          <w:szCs w:val="24"/>
        </w:rPr>
      </w:pPr>
      <w:r w:rsidRPr="00206EFE">
        <w:rPr>
          <w:rStyle w:val="a6"/>
          <w:rFonts w:ascii="Times New Roman" w:hAnsi="Times New Roman" w:cs="Times New Roman"/>
          <w:sz w:val="24"/>
          <w:szCs w:val="24"/>
        </w:rPr>
        <w:endnoteRef/>
      </w:r>
      <w:r w:rsidRPr="00206EFE">
        <w:rPr>
          <w:rFonts w:ascii="Times New Roman" w:hAnsi="Times New Roman" w:cs="Times New Roman"/>
          <w:sz w:val="24"/>
          <w:szCs w:val="24"/>
        </w:rPr>
        <w:t>-Matthews R. The Archaeology Mesopotamia, Theories and approaches.london,2003,P.5.</w:t>
      </w:r>
    </w:p>
  </w:endnote>
  <w:endnote w:id="5">
    <w:p w:rsidR="007F02D2" w:rsidRPr="00206EFE" w:rsidRDefault="007F02D2" w:rsidP="007F02D2">
      <w:pPr>
        <w:spacing w:line="360" w:lineRule="exact"/>
        <w:ind w:left="284" w:hanging="284"/>
        <w:jc w:val="both"/>
        <w:rPr>
          <w:rFonts w:cs="Times New Roman"/>
          <w:szCs w:val="24"/>
        </w:rPr>
      </w:pPr>
      <w:r w:rsidRPr="00206EFE">
        <w:rPr>
          <w:rStyle w:val="a6"/>
          <w:rFonts w:cs="Times New Roman"/>
          <w:szCs w:val="24"/>
        </w:rPr>
        <w:endnoteRef/>
      </w:r>
      <w:r w:rsidRPr="00206EFE">
        <w:rPr>
          <w:rFonts w:cs="Times New Roman"/>
          <w:szCs w:val="24"/>
          <w:rtl/>
        </w:rPr>
        <w:t xml:space="preserve"> </w:t>
      </w:r>
      <w:r w:rsidRPr="00206EFE">
        <w:rPr>
          <w:rFonts w:cs="Times New Roman"/>
          <w:szCs w:val="24"/>
        </w:rPr>
        <w:t xml:space="preserve">- </w:t>
      </w:r>
      <w:r w:rsidRPr="00206EFE">
        <w:rPr>
          <w:rFonts w:cs="Times New Roman"/>
          <w:bCs/>
          <w:szCs w:val="24"/>
        </w:rPr>
        <w:t>Solecki R.S</w:t>
      </w:r>
      <w:r w:rsidRPr="00206EFE">
        <w:rPr>
          <w:rFonts w:cs="Times New Roman"/>
          <w:szCs w:val="24"/>
          <w:lang w:bidi="he-IL"/>
        </w:rPr>
        <w:t>. Zawi Chemi Shanidar , A post-Pleistocene Village Site in Northern Iraq.Warsaw,1964.P.405.</w:t>
      </w:r>
      <w:r w:rsidRPr="00206EFE">
        <w:rPr>
          <w:rFonts w:cs="Times New Roman"/>
          <w:bCs/>
          <w:szCs w:val="24"/>
        </w:rPr>
        <w:t xml:space="preserve"> </w:t>
      </w:r>
    </w:p>
  </w:endnote>
  <w:endnote w:id="6">
    <w:p w:rsidR="007F02D2" w:rsidRPr="00206EFE" w:rsidRDefault="007F02D2" w:rsidP="007F02D2">
      <w:pPr>
        <w:pStyle w:val="a5"/>
        <w:ind w:left="284" w:hanging="284"/>
        <w:jc w:val="both"/>
        <w:rPr>
          <w:rFonts w:ascii="Times New Roman" w:hAnsi="Times New Roman" w:cs="Times New Roman"/>
          <w:sz w:val="24"/>
          <w:szCs w:val="24"/>
        </w:rPr>
      </w:pPr>
      <w:r w:rsidRPr="00206EFE">
        <w:rPr>
          <w:rStyle w:val="a6"/>
          <w:rFonts w:ascii="Times New Roman" w:hAnsi="Times New Roman" w:cs="Times New Roman"/>
          <w:sz w:val="24"/>
          <w:szCs w:val="24"/>
        </w:rPr>
        <w:endnoteRef/>
      </w:r>
      <w:r w:rsidRPr="00206EFE">
        <w:rPr>
          <w:rFonts w:ascii="Times New Roman" w:hAnsi="Times New Roman" w:cs="Times New Roman"/>
          <w:sz w:val="24"/>
          <w:szCs w:val="24"/>
          <w:rtl/>
        </w:rPr>
        <w:t xml:space="preserve"> </w:t>
      </w:r>
      <w:r w:rsidRPr="00206EFE">
        <w:rPr>
          <w:rFonts w:ascii="Times New Roman" w:hAnsi="Times New Roman" w:cs="Times New Roman"/>
          <w:sz w:val="24"/>
          <w:szCs w:val="24"/>
        </w:rPr>
        <w:t>-</w:t>
      </w:r>
      <w:r w:rsidRPr="00206EFE">
        <w:rPr>
          <w:rFonts w:ascii="Times New Roman" w:hAnsi="Times New Roman" w:cs="Times New Roman"/>
          <w:bCs/>
          <w:sz w:val="24"/>
          <w:szCs w:val="24"/>
        </w:rPr>
        <w:t xml:space="preserve"> Solecki R.S. An Early village site At Zawi Chemi Shanidar. Malibu,1981, P.53.</w:t>
      </w:r>
    </w:p>
  </w:endnote>
  <w:endnote w:id="7">
    <w:p w:rsidR="007F02D2" w:rsidRPr="00206EFE" w:rsidRDefault="007F02D2" w:rsidP="007F02D2">
      <w:pPr>
        <w:pStyle w:val="a3"/>
        <w:spacing w:line="360" w:lineRule="exact"/>
        <w:ind w:left="284" w:hanging="284"/>
        <w:rPr>
          <w:rFonts w:cs="Times New Roman"/>
          <w:szCs w:val="24"/>
        </w:rPr>
      </w:pPr>
      <w:r w:rsidRPr="00206EFE">
        <w:rPr>
          <w:rStyle w:val="a6"/>
          <w:rFonts w:cs="Times New Roman"/>
          <w:szCs w:val="24"/>
        </w:rPr>
        <w:endnoteRef/>
      </w:r>
      <w:r w:rsidRPr="00206EFE">
        <w:rPr>
          <w:rFonts w:cs="Times New Roman"/>
          <w:szCs w:val="24"/>
        </w:rPr>
        <w:t>-</w:t>
      </w:r>
      <w:r w:rsidRPr="00206EFE">
        <w:rPr>
          <w:rFonts w:cs="Times New Roman"/>
          <w:bCs/>
          <w:szCs w:val="24"/>
        </w:rPr>
        <w:t>Braidwood, R. Excavations in Iraq Kurdistan . Chicago, 1960.P.27,50./ Dittemore M . The Sounding At M’lefaat . in(ed) Braidwood, R, et.al. Prehistoric Archaeology a long Zagros flanks.(OIP),Vol.105,1983,P.672./</w:t>
      </w:r>
      <w:r w:rsidRPr="00206EFE">
        <w:rPr>
          <w:rFonts w:cs="Times New Roman"/>
          <w:szCs w:val="24"/>
        </w:rPr>
        <w:t>Matthews R, 2000,op.cit,P.35.</w:t>
      </w:r>
    </w:p>
  </w:endnote>
  <w:endnote w:id="8">
    <w:p w:rsidR="007F02D2" w:rsidRPr="00206EFE" w:rsidRDefault="007F02D2" w:rsidP="007F02D2">
      <w:pPr>
        <w:pStyle w:val="a4"/>
        <w:ind w:left="284" w:hanging="284"/>
        <w:jc w:val="lowKashida"/>
        <w:rPr>
          <w:rFonts w:ascii="Times New Roman" w:hAnsi="Times New Roman" w:cs="Times New Roman"/>
          <w:sz w:val="24"/>
          <w:szCs w:val="24"/>
        </w:rPr>
      </w:pPr>
    </w:p>
    <w:p w:rsidR="007F02D2" w:rsidRPr="00206EFE" w:rsidRDefault="007F02D2" w:rsidP="007F02D2">
      <w:pPr>
        <w:pStyle w:val="a4"/>
        <w:ind w:left="284" w:hanging="284"/>
        <w:jc w:val="lowKashida"/>
        <w:rPr>
          <w:rFonts w:ascii="Times New Roman" w:hAnsi="Times New Roman" w:cs="Times New Roman"/>
          <w:sz w:val="24"/>
          <w:szCs w:val="24"/>
        </w:rPr>
      </w:pPr>
      <w:r w:rsidRPr="00206EFE">
        <w:rPr>
          <w:rStyle w:val="a6"/>
          <w:rFonts w:ascii="Times New Roman" w:hAnsi="Times New Roman" w:cs="Times New Roman"/>
          <w:sz w:val="24"/>
          <w:szCs w:val="24"/>
        </w:rPr>
        <w:endnoteRef/>
      </w:r>
      <w:r w:rsidRPr="00206EFE">
        <w:rPr>
          <w:rFonts w:ascii="Times New Roman" w:hAnsi="Times New Roman" w:cs="Times New Roman"/>
          <w:sz w:val="24"/>
          <w:szCs w:val="24"/>
          <w:rtl/>
        </w:rPr>
        <w:t xml:space="preserve"> </w:t>
      </w:r>
      <w:r w:rsidRPr="00206EFE">
        <w:rPr>
          <w:rFonts w:ascii="Times New Roman" w:hAnsi="Times New Roman" w:cs="Times New Roman"/>
          <w:sz w:val="24"/>
          <w:szCs w:val="24"/>
        </w:rPr>
        <w:t>- Moore A. M.T . Abu Hureyra and the Beginning of Agriculture and village life on the Euphrates. Subartu Vol. 7, Brepols, Turnhout, Belgium,1998.P.34-35.</w:t>
      </w:r>
    </w:p>
  </w:endnote>
  <w:endnote w:id="9">
    <w:p w:rsidR="007F02D2" w:rsidRPr="00206EFE" w:rsidRDefault="007F02D2" w:rsidP="007F02D2">
      <w:pPr>
        <w:pStyle w:val="a3"/>
        <w:spacing w:line="360" w:lineRule="exact"/>
        <w:ind w:left="284" w:hanging="284"/>
        <w:rPr>
          <w:rFonts w:cs="Times New Roman"/>
          <w:szCs w:val="24"/>
        </w:rPr>
      </w:pPr>
      <w:r w:rsidRPr="00206EFE">
        <w:rPr>
          <w:rStyle w:val="a6"/>
          <w:rFonts w:cs="Times New Roman"/>
          <w:szCs w:val="24"/>
        </w:rPr>
        <w:endnoteRef/>
      </w:r>
      <w:r w:rsidRPr="00206EFE">
        <w:rPr>
          <w:rFonts w:cs="Times New Roman"/>
          <w:szCs w:val="24"/>
          <w:rtl/>
        </w:rPr>
        <w:t xml:space="preserve"> </w:t>
      </w:r>
      <w:r w:rsidRPr="00206EFE">
        <w:rPr>
          <w:rFonts w:cs="Times New Roman"/>
          <w:szCs w:val="24"/>
        </w:rPr>
        <w:t>- Cauvin J. The Birth of the Gods and the Origins of Agriculture. Cambridge University press,UK,2003,P.55-59.</w:t>
      </w:r>
    </w:p>
  </w:endnote>
  <w:endnote w:id="10">
    <w:p w:rsidR="007F02D2" w:rsidRPr="00206EFE" w:rsidRDefault="007F02D2" w:rsidP="007F02D2">
      <w:pPr>
        <w:spacing w:line="360" w:lineRule="exact"/>
        <w:ind w:left="284" w:hanging="284"/>
        <w:jc w:val="lowKashida"/>
        <w:rPr>
          <w:rFonts w:cs="Times New Roman"/>
          <w:szCs w:val="24"/>
        </w:rPr>
      </w:pPr>
      <w:r w:rsidRPr="00206EFE">
        <w:rPr>
          <w:rStyle w:val="a6"/>
          <w:rFonts w:cs="Times New Roman"/>
          <w:szCs w:val="24"/>
        </w:rPr>
        <w:endnoteRef/>
      </w:r>
      <w:r w:rsidRPr="00206EFE">
        <w:rPr>
          <w:rFonts w:cs="Times New Roman"/>
          <w:szCs w:val="24"/>
          <w:rtl/>
        </w:rPr>
        <w:t xml:space="preserve"> </w:t>
      </w:r>
      <w:r w:rsidRPr="00206EFE">
        <w:rPr>
          <w:rFonts w:cs="Times New Roman"/>
          <w:szCs w:val="24"/>
        </w:rPr>
        <w:t>- Rosenberg M .Hallan Cemi. In(ed)Ozdogan M. Neolithic in Turkey , the cradle of civilization/ new discoveries ,Istanbul,1999,P.25-33./</w:t>
      </w:r>
      <w:r w:rsidRPr="00206EFE">
        <w:rPr>
          <w:rFonts w:cs="Times New Roman"/>
          <w:szCs w:val="24"/>
          <w:lang w:bidi="he-IL"/>
        </w:rPr>
        <w:t xml:space="preserve"> Peasnall B.L, et.al . Hallan Cemi , Pig husbandry ,and post- Pleistocene adaptations along the Taurus- Zagros Arc ( Turkey). </w:t>
      </w:r>
      <w:r w:rsidRPr="00206EFE">
        <w:rPr>
          <w:rFonts w:cs="Times New Roman"/>
          <w:szCs w:val="24"/>
        </w:rPr>
        <w:t>Paleorient , Vol. 24, №.1.1998,P.28.</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CS Taybah S_U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9B1" w:rsidRDefault="00C169B1" w:rsidP="007F02D2">
      <w:pPr>
        <w:spacing w:after="0" w:line="240" w:lineRule="auto"/>
      </w:pPr>
      <w:r>
        <w:separator/>
      </w:r>
    </w:p>
  </w:footnote>
  <w:footnote w:type="continuationSeparator" w:id="1">
    <w:p w:rsidR="00C169B1" w:rsidRDefault="00C169B1" w:rsidP="007F02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F02D2"/>
    <w:rsid w:val="007F02D2"/>
    <w:rsid w:val="00C169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rsid w:val="007F02D2"/>
    <w:pPr>
      <w:bidi w:val="0"/>
      <w:spacing w:after="0" w:line="240" w:lineRule="auto"/>
      <w:ind w:left="288"/>
      <w:jc w:val="lowKashida"/>
    </w:pPr>
    <w:rPr>
      <w:rFonts w:ascii="Times New Roman" w:eastAsia="Times New Roman" w:hAnsi="Times New Roman" w:cs="Traditional Arabic"/>
      <w:sz w:val="24"/>
      <w:szCs w:val="28"/>
    </w:rPr>
  </w:style>
  <w:style w:type="character" w:customStyle="1" w:styleId="Char">
    <w:name w:val="نص أساسي بمسافة بادئة Char"/>
    <w:basedOn w:val="a0"/>
    <w:link w:val="a3"/>
    <w:semiHidden/>
    <w:rsid w:val="007F02D2"/>
    <w:rPr>
      <w:rFonts w:ascii="Times New Roman" w:eastAsia="Times New Roman" w:hAnsi="Times New Roman" w:cs="Traditional Arabic"/>
      <w:sz w:val="24"/>
      <w:szCs w:val="28"/>
    </w:rPr>
  </w:style>
  <w:style w:type="paragraph" w:styleId="a4">
    <w:name w:val="No Spacing"/>
    <w:link w:val="Char0"/>
    <w:uiPriority w:val="1"/>
    <w:qFormat/>
    <w:rsid w:val="007F02D2"/>
    <w:pPr>
      <w:spacing w:after="0" w:line="240" w:lineRule="auto"/>
    </w:pPr>
    <w:rPr>
      <w:rFonts w:ascii="Calibri" w:eastAsia="Times New Roman" w:hAnsi="Calibri" w:cs="Arial"/>
    </w:rPr>
  </w:style>
  <w:style w:type="character" w:customStyle="1" w:styleId="Char0">
    <w:name w:val="بلا تباعد Char"/>
    <w:link w:val="a4"/>
    <w:uiPriority w:val="1"/>
    <w:rsid w:val="007F02D2"/>
    <w:rPr>
      <w:rFonts w:ascii="Calibri" w:eastAsia="Times New Roman" w:hAnsi="Calibri" w:cs="Arial"/>
    </w:rPr>
  </w:style>
  <w:style w:type="paragraph" w:styleId="a5">
    <w:name w:val="endnote text"/>
    <w:basedOn w:val="a"/>
    <w:link w:val="Char1"/>
    <w:uiPriority w:val="99"/>
    <w:unhideWhenUsed/>
    <w:rsid w:val="007F02D2"/>
    <w:pPr>
      <w:bidi w:val="0"/>
      <w:spacing w:after="0" w:line="240" w:lineRule="auto"/>
    </w:pPr>
    <w:rPr>
      <w:rFonts w:ascii="Calibri" w:eastAsia="Calibri" w:hAnsi="Calibri" w:cs="Arial"/>
      <w:sz w:val="20"/>
      <w:szCs w:val="20"/>
    </w:rPr>
  </w:style>
  <w:style w:type="character" w:customStyle="1" w:styleId="Char1">
    <w:name w:val="نص تعليق ختامي Char"/>
    <w:basedOn w:val="a0"/>
    <w:link w:val="a5"/>
    <w:uiPriority w:val="99"/>
    <w:rsid w:val="007F02D2"/>
    <w:rPr>
      <w:rFonts w:ascii="Calibri" w:eastAsia="Calibri" w:hAnsi="Calibri" w:cs="Arial"/>
      <w:sz w:val="20"/>
      <w:szCs w:val="20"/>
    </w:rPr>
  </w:style>
  <w:style w:type="character" w:styleId="a6">
    <w:name w:val="endnote reference"/>
    <w:uiPriority w:val="99"/>
    <w:unhideWhenUsed/>
    <w:rsid w:val="007F02D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2</cp:revision>
  <dcterms:created xsi:type="dcterms:W3CDTF">2001-12-31T23:00:00Z</dcterms:created>
  <dcterms:modified xsi:type="dcterms:W3CDTF">2001-12-31T23:01:00Z</dcterms:modified>
</cp:coreProperties>
</file>