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B" w:rsidRPr="00DD2A73" w:rsidRDefault="0083721B" w:rsidP="0083721B">
      <w:pPr>
        <w:pStyle w:val="8"/>
        <w:rPr>
          <w:rFonts w:ascii="Arial" w:hAnsi="Arial" w:cs="MCS Taybah S_U normal." w:hint="cs"/>
          <w:noProof/>
          <w:sz w:val="44"/>
          <w:szCs w:val="44"/>
          <w:rtl/>
        </w:rPr>
      </w:pPr>
      <w:r>
        <w:rPr>
          <w:rFonts w:ascii="Arial" w:hAnsi="Arial" w:cs="MCS Taybah S_U normal." w:hint="cs"/>
          <w:noProof/>
          <w:sz w:val="44"/>
          <w:szCs w:val="44"/>
          <w:rtl/>
        </w:rPr>
        <w:t>ثنائية المرسل والمتلقي</w:t>
      </w:r>
      <w:r w:rsidRPr="00DD2A73">
        <w:rPr>
          <w:rFonts w:ascii="Arial" w:hAnsi="Arial" w:cs="MCS Taybah S_U normal." w:hint="cs"/>
          <w:noProof/>
          <w:sz w:val="44"/>
          <w:szCs w:val="44"/>
          <w:rtl/>
        </w:rPr>
        <w:t xml:space="preserve"> مقاربة في ضوء مرجعيات نظرية التلقي  </w:t>
      </w:r>
    </w:p>
    <w:p w:rsidR="0083721B" w:rsidRDefault="0083721B" w:rsidP="0083721B">
      <w:pPr>
        <w:ind w:left="-341" w:right="-426"/>
        <w:jc w:val="both"/>
        <w:rPr>
          <w:rFonts w:cs="AGA Rasheeq Bold" w:hint="cs"/>
          <w:sz w:val="52"/>
          <w:szCs w:val="52"/>
          <w:rtl/>
          <w:lang w:bidi="ar-IQ"/>
        </w:rPr>
      </w:pPr>
      <w:r>
        <w:rPr>
          <w:rFonts w:cs="AGA Rasheeq Bold" w:hint="cs"/>
          <w:sz w:val="52"/>
          <w:szCs w:val="52"/>
          <w:rtl/>
          <w:lang w:bidi="ar-IQ"/>
        </w:rPr>
        <w:t xml:space="preserve"> </w:t>
      </w:r>
      <w:r>
        <w:rPr>
          <w:rFonts w:cs="AGA Rasheeq Bold" w:hint="cs"/>
          <w:sz w:val="52"/>
          <w:szCs w:val="52"/>
          <w:rtl/>
          <w:lang w:bidi="ar-IQ"/>
        </w:rPr>
        <w:tab/>
        <w:t xml:space="preserve">  </w:t>
      </w:r>
    </w:p>
    <w:p w:rsidR="0083721B" w:rsidRDefault="0083721B" w:rsidP="0083721B">
      <w:pPr>
        <w:ind w:left="-341" w:right="-426"/>
        <w:jc w:val="both"/>
        <w:rPr>
          <w:rFonts w:cs="AGA Rasheeq Bold" w:hint="cs"/>
          <w:sz w:val="52"/>
          <w:szCs w:val="52"/>
          <w:rtl/>
          <w:lang w:bidi="ar-IQ"/>
        </w:rPr>
      </w:pPr>
    </w:p>
    <w:p w:rsidR="0083721B" w:rsidRPr="00DD2A73" w:rsidRDefault="0083721B" w:rsidP="0083721B">
      <w:pPr>
        <w:pStyle w:val="a3"/>
        <w:tabs>
          <w:tab w:val="clear" w:pos="4153"/>
          <w:tab w:val="clear" w:pos="8306"/>
        </w:tabs>
        <w:bidi/>
        <w:spacing w:before="240"/>
        <w:ind w:left="4320" w:firstLine="368"/>
        <w:jc w:val="center"/>
        <w:rPr>
          <w:rFonts w:cs="Arabic Transparent" w:hint="cs"/>
          <w:b/>
          <w:bCs/>
          <w:sz w:val="32"/>
          <w:szCs w:val="32"/>
          <w:rtl/>
        </w:rPr>
      </w:pPr>
      <w:r w:rsidRPr="00DD2A73">
        <w:rPr>
          <w:rFonts w:cs="Arabic Transparent" w:hint="cs"/>
          <w:b/>
          <w:bCs/>
          <w:sz w:val="32"/>
          <w:szCs w:val="32"/>
          <w:rtl/>
        </w:rPr>
        <w:t xml:space="preserve">أ.م.د. هاتف بريهي شياع </w:t>
      </w:r>
      <w:r w:rsidRPr="00DD2A73">
        <w:rPr>
          <w:rFonts w:cs="Arabic Transparent" w:hint="cs"/>
          <w:b/>
          <w:bCs/>
          <w:sz w:val="32"/>
          <w:szCs w:val="32"/>
          <w:rtl/>
        </w:rPr>
        <w:tab/>
      </w:r>
    </w:p>
    <w:p w:rsidR="0083721B" w:rsidRDefault="0083721B" w:rsidP="0083721B">
      <w:pPr>
        <w:pStyle w:val="a3"/>
        <w:tabs>
          <w:tab w:val="clear" w:pos="4153"/>
          <w:tab w:val="clear" w:pos="8306"/>
        </w:tabs>
        <w:bidi/>
        <w:spacing w:before="240"/>
        <w:ind w:left="4320"/>
        <w:rPr>
          <w:rFonts w:cs="AF_Unizah" w:hint="cs"/>
          <w:sz w:val="52"/>
          <w:szCs w:val="52"/>
          <w:rtl/>
          <w:lang w:bidi="ar-IQ"/>
        </w:rPr>
      </w:pPr>
      <w:r w:rsidRPr="00DD2A73">
        <w:rPr>
          <w:rFonts w:cs="Arabic Transparent" w:hint="cs"/>
          <w:b/>
          <w:bCs/>
          <w:sz w:val="32"/>
          <w:szCs w:val="32"/>
          <w:rtl/>
        </w:rPr>
        <w:t>الكلية التربوية المفتوحة في محافظة القادسية</w:t>
      </w:r>
      <w:r>
        <w:rPr>
          <w:rFonts w:cs="AF_Unizah" w:hint="cs"/>
          <w:sz w:val="56"/>
          <w:szCs w:val="56"/>
          <w:rtl/>
          <w:lang w:bidi="ar-IQ"/>
        </w:rPr>
        <w:t xml:space="preserve"> </w:t>
      </w:r>
    </w:p>
    <w:p w:rsidR="0083721B" w:rsidRDefault="0083721B" w:rsidP="0083721B">
      <w:pPr>
        <w:ind w:left="-625" w:right="-426"/>
        <w:jc w:val="both"/>
        <w:rPr>
          <w:rFonts w:cs="AGA Rasheeq Bold"/>
          <w:b/>
          <w:bCs/>
          <w:sz w:val="40"/>
          <w:szCs w:val="40"/>
          <w:lang w:bidi="ar-IQ"/>
        </w:rPr>
      </w:pPr>
    </w:p>
    <w:p w:rsidR="0083721B" w:rsidRPr="00DD2A73" w:rsidRDefault="0083721B" w:rsidP="0083721B">
      <w:pPr>
        <w:spacing w:before="240"/>
        <w:rPr>
          <w:rFonts w:cs="Arabic Transparent" w:hint="cs"/>
          <w:b/>
          <w:bCs/>
          <w:sz w:val="32"/>
          <w:szCs w:val="32"/>
          <w:rtl/>
          <w:lang w:bidi="ar-IQ"/>
        </w:rPr>
      </w:pPr>
      <w:r w:rsidRPr="00DD2A73">
        <w:rPr>
          <w:rFonts w:cs="Arabic Transparent" w:hint="cs"/>
          <w:b/>
          <w:bCs/>
          <w:sz w:val="32"/>
          <w:szCs w:val="32"/>
          <w:rtl/>
          <w:lang w:bidi="ar-IQ"/>
        </w:rPr>
        <w:t>الخلاصة:</w:t>
      </w:r>
    </w:p>
    <w:p w:rsidR="0083721B" w:rsidRPr="00DD2A73" w:rsidRDefault="0083721B" w:rsidP="0083721B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DD2A73">
        <w:rPr>
          <w:rFonts w:cs="Simplified Arabic"/>
          <w:sz w:val="28"/>
          <w:rtl/>
          <w:lang w:bidi="ar-IQ"/>
        </w:rPr>
        <w:t xml:space="preserve">تتجسد كل عملية ابداعية من ثلاثة اركان ، هي : المرسل (المبدع ، المنتج ، الباث ) ، والنص ، والمتلقي ( المرسل اليه ، المستقبل ) </w:t>
      </w:r>
    </w:p>
    <w:p w:rsidR="0083721B" w:rsidRDefault="0083721B" w:rsidP="0083721B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DD2A73">
        <w:rPr>
          <w:rFonts w:cs="Simplified Arabic"/>
          <w:sz w:val="28"/>
          <w:rtl/>
          <w:lang w:bidi="ar-IQ"/>
        </w:rPr>
        <w:t xml:space="preserve">وهذه الاركان ملتحم بعضها ببعض ، ويأخذ بعضها برقاب بعض . بيد ان هناك علاقة تبادل بين المرسل والمتلقي ، من خلال النص . وبما ان النص نشاط لغوي ابداعي ، واثر فكري متميز ، فلا بد له من الاعتمال في ذات المبدع وضميره ، ليخرجه اثراً فكريا ، يبثه الى المتلقي ليكون شريكا له فيه ، فهو اي ( النص ) بمثابة قناة محملة برسالة ، تصل المرسل بالمرسل اليه ، تضمن الاتصال ، يقوم المرسِل بعملية التركيب بينما يقوم المرسل اليه بعملية التفكيك </w:t>
      </w:r>
      <w:r w:rsidRPr="00DD2A73">
        <w:rPr>
          <w:rFonts w:cs="Simplified Arabic"/>
          <w:sz w:val="28"/>
          <w:vertAlign w:val="superscript"/>
          <w:rtl/>
        </w:rPr>
        <w:endnoteReference w:id="2"/>
      </w:r>
      <w:r w:rsidRPr="00DD2A73">
        <w:rPr>
          <w:rFonts w:cs="Simplified Arabic"/>
          <w:sz w:val="28"/>
          <w:vertAlign w:val="superscript"/>
          <w:rtl/>
          <w:lang w:bidi="ar-IQ"/>
        </w:rPr>
        <w:t xml:space="preserve"> </w:t>
      </w:r>
      <w:r w:rsidRPr="00DD2A73">
        <w:rPr>
          <w:rFonts w:cs="Simplified Arabic"/>
          <w:sz w:val="28"/>
          <w:rtl/>
          <w:lang w:bidi="ar-IQ"/>
        </w:rPr>
        <w:t xml:space="preserve">. والرسالة تَشَكّلٌ علامي قبل كل شئ وما دلالتها المعنوية سوى اهتداء المرسَل اليه الى تفكيكها حسب نفس السنن التي انتظمت بموجبها </w:t>
      </w:r>
      <w:r w:rsidRPr="00DD2A73">
        <w:rPr>
          <w:rFonts w:cs="Simplified Arabic"/>
          <w:sz w:val="28"/>
          <w:vertAlign w:val="superscript"/>
          <w:rtl/>
        </w:rPr>
        <w:endnoteReference w:id="3"/>
      </w:r>
      <w:r w:rsidRPr="00DD2A73">
        <w:rPr>
          <w:rFonts w:cs="Simplified Arabic"/>
          <w:sz w:val="28"/>
          <w:vertAlign w:val="superscript"/>
          <w:rtl/>
          <w:lang w:bidi="ar-IQ"/>
        </w:rPr>
        <w:t xml:space="preserve"> </w:t>
      </w:r>
      <w:r w:rsidRPr="00DD2A73">
        <w:rPr>
          <w:rFonts w:cs="Simplified Arabic"/>
          <w:sz w:val="28"/>
          <w:rtl/>
          <w:lang w:bidi="ar-IQ"/>
        </w:rPr>
        <w:t xml:space="preserve">. </w:t>
      </w:r>
    </w:p>
    <w:p w:rsidR="0083721B" w:rsidRPr="00DD2A73" w:rsidRDefault="0083721B" w:rsidP="0083721B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DD2A73">
        <w:rPr>
          <w:rFonts w:cs="Simplified Arabic"/>
          <w:sz w:val="28"/>
          <w:rtl/>
          <w:lang w:bidi="ar-IQ"/>
        </w:rPr>
        <w:t xml:space="preserve">فاتحاد الكاتب والقارئ ، هو الذي يمنح الحياة للنص ، بما هو موضوع واقعي ومتخَيل انتجه العقل . من ذلك يرى سارتر ان (( تعاون المؤلف والقارئ في مجهودهما هو الذي يخرج الى الوجود هذا الاثر الفكري ، وهو النتاج الادبي المحسوس الخيالي في وقت معاً ، فلا وجود للفن الا بوساطة الاخرين ومن اجلهم )) </w:t>
      </w:r>
      <w:r w:rsidRPr="00DD2A73">
        <w:rPr>
          <w:rFonts w:cs="Simplified Arabic"/>
          <w:sz w:val="28"/>
          <w:vertAlign w:val="superscript"/>
          <w:rtl/>
        </w:rPr>
        <w:endnoteReference w:id="4"/>
      </w:r>
      <w:r w:rsidRPr="00DD2A73">
        <w:rPr>
          <w:rFonts w:cs="Simplified Arabic"/>
          <w:sz w:val="28"/>
          <w:vertAlign w:val="superscript"/>
          <w:rtl/>
          <w:lang w:bidi="ar-IQ"/>
        </w:rPr>
        <w:t xml:space="preserve"> </w:t>
      </w:r>
      <w:r w:rsidRPr="00DD2A73">
        <w:rPr>
          <w:rFonts w:cs="Simplified Arabic"/>
          <w:sz w:val="28"/>
          <w:rtl/>
          <w:lang w:bidi="ar-IQ"/>
        </w:rPr>
        <w:t xml:space="preserve">. وذكر د . محمد عبد المطلب ان رولان بارت قد بالغ في هذا التعاون ، حتى ساوى بين المبدع والمتلقي ، بل انه وحّد بينهما ، حتى قال بوجود (( الكتابة القارئة )) فالنص يتكلم كما يريد القارئ ، بل ان قيمة النص تتمثل فيما يتيحه للقارئ من محاولة كتابته مرة اخرى ، وذلك لان القارئ لم يعد مجرد مستقبل او متلق فقط ، وانما تتمثل القيمة الحقيقة في العمل الابداعي من خلال المشاركة بين المبدع والمتلقي في لحظة توحد وجودي </w:t>
      </w:r>
      <w:r w:rsidRPr="00DD2A73">
        <w:rPr>
          <w:rFonts w:cs="Simplified Arabic"/>
          <w:sz w:val="28"/>
          <w:vertAlign w:val="superscript"/>
          <w:rtl/>
        </w:rPr>
        <w:endnoteReference w:id="5"/>
      </w:r>
      <w:r w:rsidRPr="00DD2A73">
        <w:rPr>
          <w:rFonts w:cs="Simplified Arabic"/>
          <w:sz w:val="28"/>
          <w:vertAlign w:val="superscript"/>
          <w:rtl/>
          <w:lang w:bidi="ar-IQ"/>
        </w:rPr>
        <w:t>.</w:t>
      </w:r>
      <w:r w:rsidRPr="00DD2A73">
        <w:rPr>
          <w:rFonts w:cs="Simplified Arabic"/>
          <w:sz w:val="28"/>
          <w:rtl/>
          <w:lang w:bidi="ar-IQ"/>
        </w:rPr>
        <w:t xml:space="preserve"> في حين نجد ان ( بارت ) ذهب في ( هسهسة اللغة ) الى ( موت المؤلف ) قائلا : ان اللغة هي التي تتكلم ، وليس المؤلف ، فشعرية مالارميه جميعاً ، انما تقوم على حذف المؤلف لمصلحة الكتابة ، ويكون هذا بإعطاء القارئ مكان المؤلف ، ولكي تسترد الكتابة مستقبلها ، يجب قلب الاسطورة ، فموت الكاتب هو الثمن الذي تتطلبه ولادة القارئ</w:t>
      </w:r>
      <w:r w:rsidRPr="00DD2A73">
        <w:rPr>
          <w:rFonts w:cs="Simplified Arabic"/>
          <w:sz w:val="28"/>
          <w:vertAlign w:val="superscript"/>
          <w:rtl/>
        </w:rPr>
        <w:endnoteReference w:id="6"/>
      </w:r>
      <w:r w:rsidRPr="00DD2A73">
        <w:rPr>
          <w:rFonts w:cs="Simplified Arabic"/>
          <w:sz w:val="28"/>
          <w:rtl/>
          <w:lang w:bidi="ar-IQ"/>
        </w:rPr>
        <w:t xml:space="preserve">  ويرى آخرون ، انّ ما يدعو الى الدهشة ، ان مفهومي ( الانتاج ) و ( التلقي ) كانا في ـ لحظة معينة ـ يظهران بمظهر ( الاخوين العدوين ) ، من خلال ما دار من جدل حول نقد الايدلوجيات ، واحتدام النقاش حول </w:t>
      </w:r>
      <w:r w:rsidRPr="00DD2A73">
        <w:rPr>
          <w:rFonts w:cs="Simplified Arabic"/>
          <w:sz w:val="28"/>
          <w:rtl/>
          <w:lang w:bidi="ar-IQ"/>
        </w:rPr>
        <w:lastRenderedPageBreak/>
        <w:t xml:space="preserve">مسألة تنازع التأويلات ، و كان الغرض ، هو معرفة ما اذا كان الانتاج بصفته عاملا حاسما في كل ممارسة اجتماعية ، عاملا ايضا يحدد مجموع النشاط الجمالي ، او كان التلقي ، رغم تبعيته للانتاج ، لا يمثل شرطا اوليا يتوقف عليه فهم النص الادبي . </w:t>
      </w:r>
      <w:r w:rsidRPr="00DD2A73">
        <w:rPr>
          <w:rFonts w:cs="Simplified Arabic"/>
          <w:sz w:val="28"/>
          <w:rtl/>
          <w:lang w:bidi="ar-IQ"/>
        </w:rPr>
        <w:tab/>
      </w:r>
      <w:r w:rsidRPr="00DD2A73">
        <w:rPr>
          <w:rFonts w:cs="Simplified Arabic"/>
          <w:sz w:val="28"/>
          <w:rtl/>
          <w:lang w:bidi="ar-IQ"/>
        </w:rPr>
        <w:tab/>
      </w:r>
    </w:p>
    <w:p w:rsidR="0083721B" w:rsidRPr="00DD2A73" w:rsidRDefault="0083721B" w:rsidP="0083721B">
      <w:pPr>
        <w:ind w:firstLine="720"/>
        <w:jc w:val="lowKashida"/>
        <w:rPr>
          <w:rFonts w:cs="Simplified Arabic"/>
          <w:sz w:val="28"/>
          <w:rtl/>
          <w:lang w:bidi="ar-IQ"/>
        </w:rPr>
      </w:pPr>
      <w:r w:rsidRPr="00DD2A73">
        <w:rPr>
          <w:rFonts w:cs="Simplified Arabic"/>
          <w:sz w:val="28"/>
          <w:rtl/>
          <w:lang w:bidi="ar-IQ"/>
        </w:rPr>
        <w:t>ومن اجل التحقق من بطلان هذا السجال حول اسبقية وجهة النظر المادية او وجهة النظر المثالية ـ لان جمالية الانتاج وجمالية التلقي مترابطتان بطبيعة الحال ـ كان يكفي الاحتكام الى سلطة لا يمكن ابداً اتهامها بالمثالية ، ففي عام 1857 صادر ( كارل ماركس ) في معرض وصفه الجدلي لسيرورة رواج السلع ، على ان كل انتاج يستجيب للتلقي ، مثلما ان لكل استهلاك جانبه الانتاجي ، مستشهدا بمثال الممارسة الجمالية بالضبط ، ليوضح هذه العلاقة الجدلية ، حيث قال : ان الموضوع الفني يخلق جمهورا للفن ومنتجاته ، اي ذاتا للموضوع ، وبنفس الكيفية ، يحدد الاستهلاك تدابير المنتج ما دام انه يتطلب ذاك بواسطة حاجة تعّين له غاياته</w:t>
      </w:r>
      <w:r w:rsidRPr="00DD2A73">
        <w:rPr>
          <w:rFonts w:cs="Simplified Arabic"/>
          <w:sz w:val="28"/>
          <w:vertAlign w:val="superscript"/>
          <w:rtl/>
        </w:rPr>
        <w:endnoteReference w:id="7"/>
      </w:r>
      <w:r w:rsidRPr="00DD2A73">
        <w:rPr>
          <w:rFonts w:cs="Simplified Arabic"/>
          <w:sz w:val="28"/>
          <w:rtl/>
          <w:lang w:bidi="ar-IQ"/>
        </w:rPr>
        <w:t xml:space="preserve"> . في حين ان هناك حوارا وتفاعلا بين ( المنتج والمتلقي ) ، وانصهاراً لتجربتيهما ، يفضي الى ناتج جديد ، نتيجة لاحكام المتلقي ، التي تعد بمثابة ردود افعال ظهرت مع التقائه بالنص ، وان ما حواه النص من منبهات ، هي بمثابة وخزات تثير في هذا المتلقي أحكاما      لاشك انها ذاتية ، ولكن عند ربطها بمسببها ، وهو النص ، تأخذ مسحة موضوعية ، وذلك من خلال قاعدة التأثير والتأثر</w:t>
      </w:r>
      <w:r w:rsidRPr="00DD2A73">
        <w:rPr>
          <w:rFonts w:cs="Simplified Arabic"/>
          <w:sz w:val="28"/>
          <w:vertAlign w:val="superscript"/>
          <w:rtl/>
        </w:rPr>
        <w:endnoteReference w:id="8"/>
      </w:r>
      <w:r w:rsidRPr="00DD2A73">
        <w:rPr>
          <w:rFonts w:cs="Simplified Arabic"/>
          <w:sz w:val="28"/>
          <w:vertAlign w:val="superscript"/>
          <w:rtl/>
          <w:lang w:bidi="ar-IQ"/>
        </w:rPr>
        <w:t xml:space="preserve"> </w:t>
      </w:r>
      <w:r w:rsidRPr="00DD2A73">
        <w:rPr>
          <w:rFonts w:cs="Simplified Arabic"/>
          <w:sz w:val="28"/>
          <w:rtl/>
          <w:lang w:bidi="ar-IQ"/>
        </w:rPr>
        <w:t xml:space="preserve">. فعندما يتخلق النص في رحم مبدعه ، افكارا ، ومفاهيم ،وروئ ، يشاركه المتلقي في عملية المخاض الصعبة ، لحظة ولادة العمل الابداعي ( النص ) ، وهنا تلتقي معاناة المنتج والمتلقي معاً ، في ثنائية ، تستلزم التشارك والتفاعل والتوحد ، لتتناسل وتتوالد في عملية تمثيل خلّاقه ، يبدو فيها النص متكلما كما يريد المتلقي بما يضيفه ويضفيه عليه من روحه وفكره وخزينه المعرفي . </w:t>
      </w:r>
    </w:p>
    <w:p w:rsidR="00D45C4E" w:rsidRDefault="00D45C4E">
      <w:pPr>
        <w:rPr>
          <w:rFonts w:hint="cs"/>
          <w:lang w:bidi="ar-IQ"/>
        </w:rPr>
      </w:pPr>
    </w:p>
    <w:sectPr w:rsidR="00D45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4E" w:rsidRDefault="00D45C4E" w:rsidP="0083721B">
      <w:pPr>
        <w:spacing w:after="0" w:line="240" w:lineRule="auto"/>
      </w:pPr>
      <w:r>
        <w:separator/>
      </w:r>
    </w:p>
  </w:endnote>
  <w:endnote w:type="continuationSeparator" w:id="1">
    <w:p w:rsidR="00D45C4E" w:rsidRDefault="00D45C4E" w:rsidP="0083721B">
      <w:pPr>
        <w:spacing w:after="0" w:line="240" w:lineRule="auto"/>
      </w:pPr>
      <w:r>
        <w:continuationSeparator/>
      </w:r>
    </w:p>
  </w:endnote>
  <w:endnote w:id="2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ينظر الاسلوبية والاسلوب : 133 </w:t>
      </w:r>
    </w:p>
  </w:endnote>
  <w:endnote w:id="3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نفسه : 134</w:t>
      </w:r>
    </w:p>
  </w:endnote>
  <w:endnote w:id="4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ما الادب : 49 </w:t>
      </w:r>
    </w:p>
  </w:endnote>
  <w:endnote w:id="5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ينظر البلاغة والاسلوبية : 172 </w:t>
      </w:r>
    </w:p>
  </w:endnote>
  <w:endnote w:id="6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ينظر هسهسة اللغة : 77 ، 83</w:t>
      </w:r>
    </w:p>
  </w:endnote>
  <w:endnote w:id="7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rtl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ينظر جمالية التلقي من اجل تأويل جديد للنص الادبي : 85 </w:t>
      </w:r>
    </w:p>
  </w:endnote>
  <w:endnote w:id="8">
    <w:p w:rsidR="0083721B" w:rsidRPr="0058441B" w:rsidRDefault="0083721B" w:rsidP="0083721B">
      <w:pPr>
        <w:pStyle w:val="a5"/>
        <w:ind w:left="405" w:right="-567" w:hanging="392"/>
        <w:jc w:val="both"/>
        <w:rPr>
          <w:sz w:val="24"/>
          <w:szCs w:val="24"/>
          <w:lang w:bidi="ar-IQ"/>
        </w:rPr>
      </w:pPr>
      <w:r w:rsidRPr="0058441B">
        <w:rPr>
          <w:rStyle w:val="a6"/>
          <w:sz w:val="24"/>
          <w:szCs w:val="24"/>
        </w:rPr>
        <w:endnoteRef/>
      </w:r>
      <w:r w:rsidRPr="0058441B">
        <w:rPr>
          <w:sz w:val="24"/>
          <w:szCs w:val="24"/>
          <w:rtl/>
          <w:lang w:bidi="ar-IQ"/>
        </w:rPr>
        <w:t xml:space="preserve"> ـ ينظر البلاغة والاسلوبية : 173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4E" w:rsidRDefault="00D45C4E" w:rsidP="0083721B">
      <w:pPr>
        <w:spacing w:after="0" w:line="240" w:lineRule="auto"/>
      </w:pPr>
      <w:r>
        <w:separator/>
      </w:r>
    </w:p>
  </w:footnote>
  <w:footnote w:type="continuationSeparator" w:id="1">
    <w:p w:rsidR="00D45C4E" w:rsidRDefault="00D45C4E" w:rsidP="00837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21B"/>
    <w:rsid w:val="0083721B"/>
    <w:rsid w:val="00D4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8372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83721B"/>
    <w:rPr>
      <w:rFonts w:ascii="Times New Roman" w:eastAsia="Times New Roman" w:hAnsi="Times New Roman" w:cs="Traditional Arabic"/>
      <w:sz w:val="32"/>
      <w:szCs w:val="38"/>
    </w:rPr>
  </w:style>
  <w:style w:type="paragraph" w:styleId="a3">
    <w:basedOn w:val="a"/>
    <w:next w:val="a4"/>
    <w:rsid w:val="0083721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a5">
    <w:name w:val="endnote text"/>
    <w:basedOn w:val="a"/>
    <w:link w:val="Char"/>
    <w:uiPriority w:val="99"/>
    <w:semiHidden/>
    <w:rsid w:val="0083721B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eastAsia="zh-CN"/>
    </w:rPr>
  </w:style>
  <w:style w:type="character" w:customStyle="1" w:styleId="Char">
    <w:name w:val="نص تعليق ختامي Char"/>
    <w:basedOn w:val="a0"/>
    <w:link w:val="a5"/>
    <w:uiPriority w:val="99"/>
    <w:semiHidden/>
    <w:rsid w:val="0083721B"/>
    <w:rPr>
      <w:rFonts w:ascii="Times New Roman" w:eastAsia="SimSun" w:hAnsi="Times New Roman" w:cs="Simplified Arabic"/>
      <w:sz w:val="20"/>
      <w:szCs w:val="20"/>
      <w:lang w:eastAsia="zh-CN"/>
    </w:rPr>
  </w:style>
  <w:style w:type="character" w:styleId="a6">
    <w:name w:val="endnote reference"/>
    <w:uiPriority w:val="99"/>
    <w:semiHidden/>
    <w:rsid w:val="0083721B"/>
    <w:rPr>
      <w:vertAlign w:val="superscript"/>
    </w:rPr>
  </w:style>
  <w:style w:type="paragraph" w:styleId="a4">
    <w:name w:val="header"/>
    <w:basedOn w:val="a"/>
    <w:link w:val="Char0"/>
    <w:uiPriority w:val="99"/>
    <w:semiHidden/>
    <w:unhideWhenUsed/>
    <w:rsid w:val="00837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3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2001-12-31T23:08:00Z</dcterms:created>
  <dcterms:modified xsi:type="dcterms:W3CDTF">2001-12-31T23:10:00Z</dcterms:modified>
</cp:coreProperties>
</file>